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18"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UNIVERSITAS NEGERI MALANG</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95250</wp:posOffset>
            </wp:positionV>
            <wp:extent cx="933450" cy="93345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3450" cy="933450"/>
                    </a:xfrm>
                    <a:prstGeom prst="rect"/>
                    <a:ln/>
                  </pic:spPr>
                </pic:pic>
              </a:graphicData>
            </a:graphic>
          </wp:anchor>
        </w:drawing>
      </w:r>
    </w:p>
    <w:p w:rsidR="00000000" w:rsidDel="00000000" w:rsidP="00000000" w:rsidRDefault="00000000" w:rsidRPr="00000000" w14:paraId="00000002">
      <w:pPr>
        <w:spacing w:after="0" w:lineRule="auto"/>
        <w:ind w:left="141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MATHEMATICS AND NATURAL SCIENCES</w:t>
      </w:r>
    </w:p>
    <w:p w:rsidR="00000000" w:rsidDel="00000000" w:rsidP="00000000" w:rsidRDefault="00000000" w:rsidRPr="00000000" w14:paraId="00000003">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EDUCATION STUDY PROGRAM</w:t>
      </w:r>
    </w:p>
    <w:p w:rsidR="00000000" w:rsidDel="00000000" w:rsidP="00000000" w:rsidRDefault="00000000" w:rsidRPr="00000000" w14:paraId="00000004">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Jalan Semarang No 5, Malang 65145</w:t>
      </w:r>
    </w:p>
    <w:p w:rsidR="00000000" w:rsidDel="00000000" w:rsidP="00000000" w:rsidRDefault="00000000" w:rsidRPr="00000000" w14:paraId="00000005">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0341-551312 Ext. 251, Fax: 0341-562180</w:t>
      </w:r>
    </w:p>
    <w:p w:rsidR="00000000" w:rsidDel="00000000" w:rsidP="00000000" w:rsidRDefault="00000000" w:rsidRPr="00000000" w14:paraId="00000006">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8">
        <w:r w:rsidDel="00000000" w:rsidR="00000000" w:rsidRPr="00000000">
          <w:rPr>
            <w:rFonts w:ascii="Times New Roman" w:cs="Times New Roman" w:eastAsia="Times New Roman" w:hAnsi="Times New Roman"/>
            <w:color w:val="0563c1"/>
            <w:sz w:val="24"/>
            <w:szCs w:val="24"/>
            <w:u w:val="single"/>
            <w:rtl w:val="0"/>
          </w:rPr>
          <w:t xml:space="preserve">http://fmipa.um.ac.id/</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215900</wp:posOffset>
                </wp:positionV>
                <wp:extent cx="5829300" cy="22225"/>
                <wp:effectExtent b="0" l="0" r="0" t="0"/>
                <wp:wrapNone/>
                <wp:docPr id="5" name=""/>
                <a:graphic>
                  <a:graphicData uri="http://schemas.microsoft.com/office/word/2010/wordprocessingShape">
                    <wps:wsp>
                      <wps:cNvCnPr/>
                      <wps:spPr>
                        <a:xfrm>
                          <a:off x="2436113" y="3780000"/>
                          <a:ext cx="58197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215900</wp:posOffset>
                </wp:positionV>
                <wp:extent cx="5829300" cy="2222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29300" cy="22225"/>
                        </a:xfrm>
                        <a:prstGeom prst="rect"/>
                        <a:ln/>
                      </pic:spPr>
                    </pic:pic>
                  </a:graphicData>
                </a:graphic>
              </wp:anchor>
            </w:drawing>
          </mc:Fallback>
        </mc:AlternateContent>
      </w:r>
    </w:p>
    <w:p w:rsidR="00000000" w:rsidDel="00000000" w:rsidP="00000000" w:rsidRDefault="00000000" w:rsidRPr="00000000" w14:paraId="00000007">
      <w:pPr>
        <w:spacing w:after="0" w:lineRule="auto"/>
        <w:ind w:left="141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Bachelor of Education in Science</w:t>
        <w:tab/>
        <w:tab/>
        <w:tab/>
        <w:tab/>
        <w:t xml:space="preserve">           MODULE HANDBOOK</w:t>
      </w:r>
    </w:p>
    <w:p w:rsidR="00000000" w:rsidDel="00000000" w:rsidP="00000000" w:rsidRDefault="00000000" w:rsidRPr="00000000" w14:paraId="00000009">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9015.0" w:type="dxa"/>
        <w:jc w:val="left"/>
        <w:tblInd w:w="108.0" w:type="dxa"/>
        <w:tblLayout w:type="fixed"/>
        <w:tblLook w:val="0000"/>
      </w:tblPr>
      <w:tblGrid>
        <w:gridCol w:w="3085"/>
        <w:gridCol w:w="5930"/>
        <w:tblGridChange w:id="0">
          <w:tblGrid>
            <w:gridCol w:w="3085"/>
            <w:gridCol w:w="59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Module designation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Micro Practice of Integrated Science Learning</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Module level, if applicable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spacing w:after="0" w:line="240" w:lineRule="auto"/>
              <w:rPr>
                <w:i w:val="1"/>
                <w:sz w:val="24"/>
                <w:szCs w:val="24"/>
              </w:rPr>
            </w:pPr>
            <w:r w:rsidDel="00000000" w:rsidR="00000000" w:rsidRPr="00000000">
              <w:rPr>
                <w:sz w:val="24"/>
                <w:szCs w:val="24"/>
                <w:rtl w:val="0"/>
              </w:rPr>
              <w:t xml:space="preserve">Undergraduate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Code, if applicable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spacing w:after="0" w:line="240" w:lineRule="auto"/>
              <w:rPr>
                <w:i w:val="1"/>
                <w:sz w:val="24"/>
                <w:szCs w:val="24"/>
              </w:rPr>
            </w:pPr>
            <w:r w:rsidDel="00000000" w:rsidR="00000000" w:rsidRPr="00000000">
              <w:rPr>
                <w:sz w:val="24"/>
                <w:szCs w:val="24"/>
                <w:rtl w:val="0"/>
              </w:rPr>
              <w:t xml:space="preserve">PIPAUM6408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Subtitle, if applicable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spacing w:after="0" w:line="240" w:lineRule="auto"/>
              <w:rPr>
                <w:i w:val="1"/>
                <w:sz w:val="24"/>
                <w:szCs w:val="24"/>
              </w:rPr>
            </w:pPr>
            <w:r w:rsidDel="00000000" w:rsidR="00000000" w:rsidRPr="00000000">
              <w:rPr>
                <w:i w:val="1"/>
                <w:sz w:val="24"/>
                <w:szCs w:val="24"/>
                <w:rtl w:val="0"/>
              </w:rPr>
              <w:t xml:space="preserv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Courses, if applicable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spacing w:after="0" w:line="240" w:lineRule="auto"/>
              <w:rPr>
                <w:i w:val="1"/>
                <w:sz w:val="24"/>
                <w:szCs w:val="24"/>
              </w:rPr>
            </w:pPr>
            <w:r w:rsidDel="00000000" w:rsidR="00000000" w:rsidRPr="00000000">
              <w:rPr>
                <w:i w:val="1"/>
                <w:sz w:val="24"/>
                <w:szCs w:val="24"/>
                <w:rtl w:val="0"/>
              </w:rPr>
              <w:t xml:space="preserv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Semester(s) in which the module is taught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after="0" w:line="240" w:lineRule="auto"/>
              <w:rPr>
                <w:i w:val="1"/>
                <w:sz w:val="24"/>
                <w:szCs w:val="24"/>
              </w:rPr>
            </w:pPr>
            <w:r w:rsidDel="00000000" w:rsidR="00000000" w:rsidRPr="00000000">
              <w:rPr>
                <w:sz w:val="24"/>
                <w:szCs w:val="24"/>
                <w:rtl w:val="0"/>
              </w:rPr>
              <w:t xml:space="preserve">Even semester</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Person responsible for the module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Sugiyanto, S.Pd,. M.Si.</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Lecturer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Sugiyanto, S.Pd,. M.Si.</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Language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spacing w:after="0" w:line="240" w:lineRule="auto"/>
              <w:rPr>
                <w:i w:val="1"/>
                <w:sz w:val="24"/>
                <w:szCs w:val="24"/>
              </w:rPr>
            </w:pPr>
            <w:r w:rsidDel="00000000" w:rsidR="00000000" w:rsidRPr="00000000">
              <w:rPr>
                <w:sz w:val="24"/>
                <w:szCs w:val="24"/>
                <w:rtl w:val="0"/>
              </w:rPr>
              <w:t xml:space="preserve">Bahasa Indonesia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Relation to curriculum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Undergraduate degree program, compulsory, 6</w:t>
            </w:r>
            <w:r w:rsidDel="00000000" w:rsidR="00000000" w:rsidRPr="00000000">
              <w:rPr>
                <w:sz w:val="24"/>
                <w:szCs w:val="24"/>
                <w:vertAlign w:val="superscript"/>
                <w:rtl w:val="0"/>
              </w:rPr>
              <w:t xml:space="preserve">th</w:t>
            </w:r>
            <w:r w:rsidDel="00000000" w:rsidR="00000000" w:rsidRPr="00000000">
              <w:rPr>
                <w:sz w:val="24"/>
                <w:szCs w:val="24"/>
                <w:rtl w:val="0"/>
              </w:rPr>
              <w:t xml:space="preserve"> semester.</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Type of teaching, contact hours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spacing w:after="80" w:before="80" w:lineRule="auto"/>
              <w:jc w:val="both"/>
              <w:rPr>
                <w:sz w:val="24"/>
                <w:szCs w:val="24"/>
              </w:rPr>
            </w:pPr>
            <w:bookmarkStart w:colFirst="0" w:colLast="0" w:name="_heading=h.30j0zll" w:id="0"/>
            <w:bookmarkEnd w:id="0"/>
            <w:r w:rsidDel="00000000" w:rsidR="00000000" w:rsidRPr="00000000">
              <w:rPr>
                <w:sz w:val="24"/>
                <w:szCs w:val="24"/>
                <w:rtl w:val="0"/>
              </w:rPr>
              <w:t xml:space="preserve">Direct Instruction for Lectures, Cooperative Learning for Experiments, 100 minutes for lectures and 170 minutes for experiments per week</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Workload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numPr>
                <w:ilvl w:val="0"/>
                <w:numId w:val="1"/>
              </w:numPr>
              <w:spacing w:after="80" w:before="80" w:lineRule="auto"/>
              <w:ind w:left="316" w:hanging="360"/>
              <w:jc w:val="both"/>
              <w:rPr>
                <w:sz w:val="24"/>
                <w:szCs w:val="24"/>
              </w:rPr>
            </w:pPr>
            <w:r w:rsidDel="00000000" w:rsidR="00000000" w:rsidRPr="00000000">
              <w:rPr>
                <w:sz w:val="24"/>
                <w:szCs w:val="24"/>
                <w:rtl w:val="0"/>
              </w:rPr>
              <w:t xml:space="preserve">Lectures: 2 x 50 = 100 minutes (1,67 hours) per week</w:t>
            </w:r>
          </w:p>
          <w:p w:rsidR="00000000" w:rsidDel="00000000" w:rsidP="00000000" w:rsidRDefault="00000000" w:rsidRPr="00000000" w14:paraId="00000022">
            <w:pPr>
              <w:numPr>
                <w:ilvl w:val="0"/>
                <w:numId w:val="1"/>
              </w:numPr>
              <w:spacing w:after="80" w:before="80" w:lineRule="auto"/>
              <w:ind w:left="316" w:hanging="360"/>
              <w:jc w:val="both"/>
              <w:rPr>
                <w:sz w:val="24"/>
                <w:szCs w:val="24"/>
              </w:rPr>
            </w:pPr>
            <w:r w:rsidDel="00000000" w:rsidR="00000000" w:rsidRPr="00000000">
              <w:rPr>
                <w:sz w:val="24"/>
                <w:szCs w:val="24"/>
                <w:rtl w:val="0"/>
              </w:rPr>
              <w:t xml:space="preserve">Exercise and Assigments: 2 x 60 minutes = 120 minutes (2 hours) per week</w:t>
            </w:r>
          </w:p>
          <w:p w:rsidR="00000000" w:rsidDel="00000000" w:rsidP="00000000" w:rsidRDefault="00000000" w:rsidRPr="00000000" w14:paraId="00000023">
            <w:pPr>
              <w:numPr>
                <w:ilvl w:val="0"/>
                <w:numId w:val="1"/>
              </w:numPr>
              <w:spacing w:after="80" w:before="80" w:lineRule="auto"/>
              <w:ind w:left="316" w:hanging="360"/>
              <w:jc w:val="both"/>
              <w:rPr>
                <w:sz w:val="24"/>
                <w:szCs w:val="24"/>
              </w:rPr>
            </w:pPr>
            <w:r w:rsidDel="00000000" w:rsidR="00000000" w:rsidRPr="00000000">
              <w:rPr>
                <w:sz w:val="24"/>
                <w:szCs w:val="24"/>
                <w:rtl w:val="0"/>
              </w:rPr>
              <w:t xml:space="preserve">Private Study: 2 x 60 minutes = 120 minutes (2 hours) per week</w:t>
            </w:r>
          </w:p>
          <w:p w:rsidR="00000000" w:rsidDel="00000000" w:rsidP="00000000" w:rsidRDefault="00000000" w:rsidRPr="00000000" w14:paraId="00000024">
            <w:pPr>
              <w:numPr>
                <w:ilvl w:val="0"/>
                <w:numId w:val="1"/>
              </w:numPr>
              <w:spacing w:after="80" w:before="80" w:lineRule="auto"/>
              <w:ind w:left="316" w:hanging="360"/>
              <w:jc w:val="both"/>
              <w:rPr>
                <w:sz w:val="24"/>
                <w:szCs w:val="24"/>
              </w:rPr>
            </w:pPr>
            <w:r w:rsidDel="00000000" w:rsidR="00000000" w:rsidRPr="00000000">
              <w:rPr>
                <w:sz w:val="24"/>
                <w:szCs w:val="24"/>
                <w:rtl w:val="0"/>
              </w:rPr>
              <w:t xml:space="preserve">Experiments: 170 minutes per week</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Credit points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spacing w:after="0" w:line="240" w:lineRule="auto"/>
              <w:rPr>
                <w:i w:val="1"/>
                <w:sz w:val="24"/>
                <w:szCs w:val="24"/>
              </w:rPr>
            </w:pPr>
            <w:r w:rsidDel="00000000" w:rsidR="00000000" w:rsidRPr="00000000">
              <w:rPr>
                <w:sz w:val="24"/>
                <w:szCs w:val="24"/>
                <w:rtl w:val="0"/>
              </w:rPr>
              <w:t xml:space="preserve">3 credit points </w:t>
            </w:r>
            <w:r w:rsidDel="00000000" w:rsidR="00000000" w:rsidRPr="00000000">
              <w:rPr>
                <w:rFonts w:ascii="Times New Roman" w:cs="Times New Roman" w:eastAsia="Times New Roman" w:hAnsi="Times New Roman"/>
                <w:sz w:val="24"/>
                <w:szCs w:val="24"/>
                <w:rtl w:val="0"/>
              </w:rPr>
              <w:t xml:space="preserve">(~4.76 ECTS-eq)</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Requirements according to the examination regulations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after="0" w:line="240" w:lineRule="auto"/>
              <w:rPr>
                <w:i w:val="1"/>
                <w:sz w:val="24"/>
                <w:szCs w:val="24"/>
              </w:rPr>
            </w:pPr>
            <w:r w:rsidDel="00000000" w:rsidR="00000000" w:rsidRPr="00000000">
              <w:rPr>
                <w:sz w:val="24"/>
                <w:szCs w:val="24"/>
                <w:rtl w:val="0"/>
              </w:rPr>
              <w:t xml:space="preserve">A student must have attended at least 80% of the lectures to sit in the exams.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Recommended prerequisites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Curriculum and Design of Integrated Science Learning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(PIPAUM6404)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Science Technology Engineering Mathematics.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Module objectives/intended learning outcomes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After completing this module, a student is expected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368"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to:</w:t>
              <w:br w:type="textWrapping"/>
              <w:t xml:space="preserve">mastering developmental psychology and learning theories to design, implement, and evaluate science learning that is innovative, productive, oriented towards developing student capabilities, and is able to adapt to changes in curriculum, technology and the environment upholds social sensitivity, cultural diversity, views and religions.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Content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Pinciples of integrated science learning.</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Characteristics of integrated science learning.</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Objectives and competency standards of junior high school science graduates.</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learning approaches and methods.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Integrated science learning models.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Types of integrated materials (integrated, connected, shared, webbed.</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Concept analysis based on Junior High School Science basic Competencies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Maps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 concepts based on Junior High School Science basic Competencies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IPKD learning indicators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identification of science learning problems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Study and examination requirements and forms of examination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80" w:before="80" w:lineRule="auto"/>
              <w:rPr>
                <w:sz w:val="24"/>
                <w:szCs w:val="24"/>
              </w:rPr>
            </w:pPr>
            <w:r w:rsidDel="00000000" w:rsidR="00000000" w:rsidRPr="00000000">
              <w:rPr>
                <w:sz w:val="24"/>
                <w:szCs w:val="24"/>
                <w:rtl w:val="0"/>
              </w:rPr>
              <w:t xml:space="preserve">Assessment of student learning achievement by assessing daily assignments, class discussions, practical performance, writing experiment reports, midterm and final semester exams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Media employed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after="80" w:before="80" w:lineRule="auto"/>
              <w:rPr>
                <w:sz w:val="24"/>
                <w:szCs w:val="24"/>
              </w:rPr>
            </w:pPr>
            <w:r w:rsidDel="00000000" w:rsidR="00000000" w:rsidRPr="00000000">
              <w:rPr>
                <w:sz w:val="24"/>
                <w:szCs w:val="24"/>
                <w:rtl w:val="0"/>
              </w:rPr>
              <w:t xml:space="preserve">Whiteboard, Power Point, Platform Youtube, Moodle (SIPEJAR)</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Reading list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Byers, A. 2008.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Biology: Life on Earth with Physiology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edition). New Jersey: Pearson. </w:t>
            </w:r>
          </w:p>
          <w:p w:rsidR="00000000" w:rsidDel="00000000" w:rsidP="00000000" w:rsidRDefault="00000000" w:rsidRPr="00000000" w14:paraId="0000004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Hewitt, P.G., Lyons, S.A., Suchocki, J.A.&amp;Yeh, J.2013.</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Conceptual Integrated Science, 2/E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York:  Addison-Wesley.</w:t>
            </w:r>
          </w:p>
          <w:p w:rsidR="00000000" w:rsidDel="00000000" w:rsidP="00000000" w:rsidRDefault="00000000" w:rsidRPr="00000000" w14:paraId="0000004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Lynda Pennell, L. (Editor). 2007.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Life Science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Hampshire: CPO Science</w:t>
            </w:r>
          </w:p>
          <w:p w:rsidR="00000000" w:rsidDel="00000000" w:rsidP="00000000" w:rsidRDefault="00000000" w:rsidRPr="00000000" w14:paraId="0000004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Tillery, B., Enger, E. &amp;Ross, F. 2010.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Integrated Science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York: McGraw-Hill Science/Engineering/Math.</w:t>
            </w:r>
          </w:p>
          <w:p w:rsidR="00000000" w:rsidDel="00000000" w:rsidP="00000000" w:rsidRDefault="00000000" w:rsidRPr="00000000" w14:paraId="0000004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 IPA Terpadu. 2010.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Panduan Pengembangan Pembelajaran IPA Secara Terpadu.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Jakarta: Direktorat Pembinaan Sekolah Menengah Pertama</w:t>
            </w:r>
          </w:p>
          <w:p w:rsidR="00000000" w:rsidDel="00000000" w:rsidP="00000000" w:rsidRDefault="00000000" w:rsidRPr="00000000" w14:paraId="0000004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Trefil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J.&amp; Hazen, R. 2009.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Sciences: An Integrated Approach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York: Wiley.</w:t>
            </w:r>
          </w:p>
          <w:p w:rsidR="00000000" w:rsidDel="00000000" w:rsidP="00000000" w:rsidRDefault="00000000" w:rsidRPr="00000000" w14:paraId="0000004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Victor, E., Richard D., Kellough, R. D. &amp;Tai, R. H. 2008.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Science K-8: An Integrated Approach, 11/E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NewYork: Pearson</w:t>
            </w:r>
          </w:p>
        </w:tc>
      </w:tr>
    </w:tbl>
    <w:p w:rsidR="00000000" w:rsidDel="00000000" w:rsidP="00000000" w:rsidRDefault="00000000" w:rsidRPr="00000000" w14:paraId="00000047">
      <w:pPr>
        <w:spacing w:after="0"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720" w:hanging="360"/>
    </w:pPr>
    <w:rPr>
      <w:b w:val="1"/>
      <w:sz w:val="48"/>
      <w:szCs w:val="48"/>
    </w:rPr>
  </w:style>
  <w:style w:type="paragraph" w:styleId="Heading2">
    <w:name w:val="heading 2"/>
    <w:basedOn w:val="Normal"/>
    <w:next w:val="Normal"/>
    <w:pPr>
      <w:keepNext w:val="1"/>
      <w:keepLines w:val="1"/>
      <w:spacing w:after="80" w:before="360" w:lineRule="auto"/>
      <w:ind w:left="1440" w:hanging="360"/>
    </w:pPr>
    <w:rPr>
      <w:b w:val="1"/>
      <w:sz w:val="36"/>
      <w:szCs w:val="36"/>
    </w:rPr>
  </w:style>
  <w:style w:type="paragraph" w:styleId="Heading3">
    <w:name w:val="heading 3"/>
    <w:basedOn w:val="Normal"/>
    <w:next w:val="Normal"/>
    <w:pPr>
      <w:keepNext w:val="1"/>
      <w:keepLines w:val="1"/>
      <w:spacing w:after="80" w:before="280" w:lineRule="auto"/>
      <w:ind w:left="2160" w:hanging="180"/>
    </w:pPr>
    <w:rPr>
      <w:b w:val="1"/>
      <w:sz w:val="28"/>
      <w:szCs w:val="28"/>
    </w:rPr>
  </w:style>
  <w:style w:type="paragraph" w:styleId="Heading4">
    <w:name w:val="heading 4"/>
    <w:basedOn w:val="Normal"/>
    <w:next w:val="Normal"/>
    <w:pPr>
      <w:keepNext w:val="1"/>
      <w:keepLines w:val="1"/>
      <w:spacing w:after="40" w:before="240" w:lineRule="auto"/>
      <w:ind w:left="2880" w:hanging="360"/>
    </w:pPr>
    <w:rPr>
      <w:b w:val="1"/>
      <w:sz w:val="24"/>
      <w:szCs w:val="24"/>
    </w:rPr>
  </w:style>
  <w:style w:type="paragraph" w:styleId="Heading5">
    <w:name w:val="heading 5"/>
    <w:basedOn w:val="Normal"/>
    <w:next w:val="Normal"/>
    <w:pPr>
      <w:keepNext w:val="1"/>
      <w:keepLines w:val="1"/>
      <w:spacing w:after="40" w:before="220" w:lineRule="auto"/>
      <w:ind w:left="3600" w:hanging="360"/>
    </w:pPr>
    <w:rPr>
      <w:b w:val="1"/>
    </w:rPr>
  </w:style>
  <w:style w:type="paragraph" w:styleId="Heading6">
    <w:name w:val="heading 6"/>
    <w:basedOn w:val="Normal"/>
    <w:next w:val="Normal"/>
    <w:pPr>
      <w:keepNext w:val="1"/>
      <w:keepLines w:val="1"/>
      <w:spacing w:after="40" w:before="200" w:lineRule="auto"/>
      <w:ind w:left="4320" w:hanging="180"/>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numPr>
        <w:numId w:val="6"/>
      </w:numPr>
      <w:spacing w:after="120" w:before="480"/>
      <w:outlineLvl w:val="0"/>
    </w:pPr>
    <w:rPr>
      <w:b w:val="1"/>
      <w:sz w:val="48"/>
      <w:szCs w:val="48"/>
    </w:rPr>
  </w:style>
  <w:style w:type="paragraph" w:styleId="Heading2">
    <w:name w:val="heading 2"/>
    <w:basedOn w:val="Normal"/>
    <w:next w:val="Normal"/>
    <w:pPr>
      <w:keepNext w:val="1"/>
      <w:keepLines w:val="1"/>
      <w:numPr>
        <w:ilvl w:val="1"/>
        <w:numId w:val="6"/>
      </w:numPr>
      <w:spacing w:after="80" w:before="360"/>
      <w:outlineLvl w:val="1"/>
    </w:pPr>
    <w:rPr>
      <w:b w:val="1"/>
      <w:sz w:val="36"/>
      <w:szCs w:val="36"/>
    </w:rPr>
  </w:style>
  <w:style w:type="paragraph" w:styleId="Heading3">
    <w:name w:val="heading 3"/>
    <w:basedOn w:val="Normal"/>
    <w:next w:val="Normal"/>
    <w:pPr>
      <w:keepNext w:val="1"/>
      <w:keepLines w:val="1"/>
      <w:numPr>
        <w:ilvl w:val="2"/>
        <w:numId w:val="6"/>
      </w:numPr>
      <w:spacing w:after="80" w:before="280"/>
      <w:outlineLvl w:val="2"/>
    </w:pPr>
    <w:rPr>
      <w:b w:val="1"/>
      <w:sz w:val="28"/>
      <w:szCs w:val="28"/>
    </w:rPr>
  </w:style>
  <w:style w:type="paragraph" w:styleId="Heading4">
    <w:name w:val="heading 4"/>
    <w:basedOn w:val="Normal"/>
    <w:next w:val="Normal"/>
    <w:pPr>
      <w:keepNext w:val="1"/>
      <w:keepLines w:val="1"/>
      <w:numPr>
        <w:ilvl w:val="3"/>
        <w:numId w:val="6"/>
      </w:numPr>
      <w:spacing w:after="40" w:before="240"/>
      <w:outlineLvl w:val="3"/>
    </w:pPr>
    <w:rPr>
      <w:b w:val="1"/>
      <w:sz w:val="24"/>
      <w:szCs w:val="24"/>
    </w:rPr>
  </w:style>
  <w:style w:type="paragraph" w:styleId="Heading5">
    <w:name w:val="heading 5"/>
    <w:basedOn w:val="Normal"/>
    <w:next w:val="Normal"/>
    <w:pPr>
      <w:keepNext w:val="1"/>
      <w:keepLines w:val="1"/>
      <w:numPr>
        <w:ilvl w:val="4"/>
        <w:numId w:val="6"/>
      </w:numPr>
      <w:spacing w:after="40" w:before="220"/>
      <w:outlineLvl w:val="4"/>
    </w:pPr>
    <w:rPr>
      <w:b w:val="1"/>
    </w:rPr>
  </w:style>
  <w:style w:type="paragraph" w:styleId="Heading6">
    <w:name w:val="heading 6"/>
    <w:basedOn w:val="Normal"/>
    <w:next w:val="Normal"/>
    <w:pPr>
      <w:keepNext w:val="1"/>
      <w:keepLines w:val="1"/>
      <w:numPr>
        <w:ilvl w:val="5"/>
        <w:numId w:val="6"/>
      </w:numPr>
      <w:spacing w:after="40" w:before="200"/>
      <w:outlineLvl w:val="5"/>
    </w:pPr>
    <w:rPr>
      <w:b w:val="1"/>
      <w:sz w:val="20"/>
      <w:szCs w:val="20"/>
    </w:rPr>
  </w:style>
  <w:style w:type="paragraph" w:styleId="Heading7">
    <w:name w:val="heading 7"/>
    <w:basedOn w:val="Normal"/>
    <w:next w:val="Normal"/>
    <w:link w:val="Heading7Char"/>
    <w:uiPriority w:val="9"/>
    <w:semiHidden w:val="1"/>
    <w:unhideWhenUsed w:val="1"/>
    <w:qFormat w:val="1"/>
    <w:rsid w:val="002A6F07"/>
    <w:pPr>
      <w:keepNext w:val="1"/>
      <w:keepLines w:val="1"/>
      <w:numPr>
        <w:ilvl w:val="6"/>
        <w:numId w:val="6"/>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2A6F07"/>
    <w:pPr>
      <w:keepNext w:val="1"/>
      <w:keepLines w:val="1"/>
      <w:numPr>
        <w:ilvl w:val="7"/>
        <w:numId w:val="6"/>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2A6F07"/>
    <w:pPr>
      <w:keepNext w:val="1"/>
      <w:keepLines w:val="1"/>
      <w:numPr>
        <w:ilvl w:val="8"/>
        <w:numId w:val="6"/>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55618E"/>
    <w:rPr>
      <w:color w:val="0563c1" w:themeColor="hyperlink"/>
      <w:u w:val="single"/>
    </w:rPr>
  </w:style>
  <w:style w:type="character" w:styleId="UnresolvedMention" w:customStyle="1">
    <w:name w:val="Unresolved Mention"/>
    <w:basedOn w:val="DefaultParagraphFont"/>
    <w:uiPriority w:val="99"/>
    <w:semiHidden w:val="1"/>
    <w:unhideWhenUsed w:val="1"/>
    <w:rsid w:val="0055618E"/>
    <w:rPr>
      <w:color w:val="605e5c"/>
      <w:shd w:color="auto" w:fill="e1dfdd" w:val="clear"/>
    </w:rPr>
  </w:style>
  <w:style w:type="table" w:styleId="TableGrid">
    <w:name w:val="Table Grid"/>
    <w:basedOn w:val="TableNormal"/>
    <w:uiPriority w:val="39"/>
    <w:rsid w:val="0055618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81139D"/>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TableParagraph" w:customStyle="1">
    <w:name w:val="Table Paragraph"/>
    <w:basedOn w:val="Normal"/>
    <w:uiPriority w:val="1"/>
    <w:qFormat w:val="1"/>
    <w:rsid w:val="00513684"/>
    <w:pPr>
      <w:widowControl w:val="0"/>
      <w:autoSpaceDE w:val="0"/>
      <w:autoSpaceDN w:val="0"/>
      <w:spacing w:after="0" w:line="240" w:lineRule="auto"/>
      <w:ind w:left="110"/>
    </w:pPr>
    <w:rPr>
      <w:rFonts w:ascii="Book Antiqua" w:cs="Book Antiqua" w:eastAsia="Book Antiqua" w:hAnsi="Book Antiqua"/>
      <w:lang w:bidi="en-US" w:val="en-US"/>
    </w:rPr>
  </w:style>
  <w:style w:type="numbering" w:styleId="ArticleSection1" w:customStyle="1">
    <w:name w:val="Article / Section1"/>
    <w:basedOn w:val="NoList"/>
    <w:next w:val="ArticleSection"/>
    <w:rsid w:val="002A6F07"/>
    <w:pPr>
      <w:numPr>
        <w:numId w:val="6"/>
      </w:numPr>
    </w:pPr>
  </w:style>
  <w:style w:type="character" w:styleId="Heading7Char" w:customStyle="1">
    <w:name w:val="Heading 7 Char"/>
    <w:basedOn w:val="DefaultParagraphFont"/>
    <w:link w:val="Heading7"/>
    <w:uiPriority w:val="9"/>
    <w:semiHidden w:val="1"/>
    <w:rsid w:val="002A6F07"/>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2A6F07"/>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2A6F07"/>
    <w:rPr>
      <w:rFonts w:asciiTheme="majorHAnsi" w:cstheme="majorBidi" w:eastAsiaTheme="majorEastAsia" w:hAnsiTheme="majorHAnsi"/>
      <w:i w:val="1"/>
      <w:iCs w:val="1"/>
      <w:color w:val="404040" w:themeColor="text1" w:themeTint="0000BF"/>
      <w:sz w:val="20"/>
      <w:szCs w:val="20"/>
    </w:rPr>
  </w:style>
  <w:style w:type="numbering" w:styleId="ArticleSection">
    <w:name w:val="Outline List 3"/>
    <w:basedOn w:val="NoList"/>
    <w:uiPriority w:val="99"/>
    <w:semiHidden w:val="1"/>
    <w:unhideWhenUsed w:val="1"/>
    <w:rsid w:val="002A6F07"/>
    <w:pPr>
      <w:numPr>
        <w:numId w:val="6"/>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mazon.com/s/ref=ntt_athr_dp_sr_1?_encoding=UTF8&amp;sort=relevancerank&amp;search-alias=books&amp;field-author=James%20Trefil"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fmipa.um.ac.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sSqjG9y6PhGdlsciXJZCYZ1Ug==">AMUW2mX5ePV7KDzKv/MFb4+wyA/E8RHHna2ZbccUmCIL6tmEbfLkTDWKiBTgqwczXqha+kN0Kdnd/5flAJ4f/hKY1OJ86l7IioHNA81aQkvzLYrPE3UEsuTF4Fa5WpaXItko/wI2pGfU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2020-12-22T00:50:00Z</dcterms:created>
  <dc:creator>Reviewer</dc:creator>
</cp:coreProperties>
</file>